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1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1070"/>
        <w:gridCol w:w="4287"/>
        <w:gridCol w:w="2745"/>
        <w:gridCol w:w="868"/>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115" w:type="dxa"/>
            <w:gridSpan w:val="6"/>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bookmarkStart w:id="0" w:name="_GoBack"/>
            <w:bookmarkEnd w:id="0"/>
            <w:r>
              <w:rPr>
                <w:rFonts w:hint="eastAsia" w:ascii="宋体" w:hAnsi="宋体" w:eastAsia="宋体" w:cs="宋体"/>
                <w:b/>
                <w:bCs/>
                <w:i w:val="0"/>
                <w:iCs w:val="0"/>
                <w:color w:val="auto"/>
                <w:kern w:val="0"/>
                <w:sz w:val="32"/>
                <w:szCs w:val="32"/>
                <w:u w:val="none"/>
                <w:lang w:val="en-US" w:eastAsia="zh-CN" w:bidi="ar"/>
              </w:rPr>
              <w:t>内江市物业服务品牌项目评定标准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标准条文</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编号</w:t>
            </w:r>
          </w:p>
        </w:tc>
        <w:tc>
          <w:tcPr>
            <w:tcW w:w="428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标准细则</w:t>
            </w:r>
          </w:p>
        </w:tc>
        <w:tc>
          <w:tcPr>
            <w:tcW w:w="2745"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分值和评分细则</w:t>
            </w:r>
          </w:p>
        </w:tc>
        <w:tc>
          <w:tcPr>
            <w:tcW w:w="868"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自评分</w:t>
            </w:r>
          </w:p>
        </w:tc>
        <w:tc>
          <w:tcPr>
            <w:tcW w:w="917" w:type="dxa"/>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一、基础管理</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基础管理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竣工总平面图，单体建筑、结构、设备竣工图，配套设施、地下管网工程竣工图、园林绿化工程竣工图、消防、人防验收备案、竣工备案表等竣工验收资料和产权面积测绘报告齐全</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（5分）缺一项扣1分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共用设施设备清单及其安装、使用和维护保养等技术资料齐全</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供水、供电、供气、通信、有线电视等准许使用文件齐全</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物业质量保修文件和物业使用说明文件</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1.1.5</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建设用地规划许可证、土地使用权证、规划红线图、建设工程规划许可证等文件齐全</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承接查验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手续</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共用部位、共用设施设备查验、交接记录齐全、规范、科学</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（2分）缺一项扣1分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已签订物业承接查验协议，双方责权利清晰</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物业服务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合同</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已签订前期物业服务合同或物业服务合同</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（2分）缺一项扣1分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前期物业服务合同或物业服务合同符合法律法规的规定，双方责权利约定清晰，无侵害业主合法权益的内容；选聘物业服务人需符合法律法规规定</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利用共有部位设施设备开展经营的需物业服务合同约定或业主大会审议通过，所得收益按法律法规规定或业主大会审议通过的要求处置，并按规定进行公示</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维修资金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制度</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项目按规定交存住宅专项维修资金，并按规定使用</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管理制度和档案建立</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房屋使用手册、装饰装修管理规定及业主临时管理规约（或业主管理规约）等各项公众制度完善</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（2分）完善2分，基本完善1分，不完善0分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小区物业管理建立健全各项管理制度、各岗位工作标准，并制定具体的落实措施和考核办法</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制度、工作标准建立健全1分，主要检查；物业管理服务工作程度、质量保证制度、收费管理制度、财务制度、岗位考核制度等每发现一处不完整规范扣0.2分：未制定具体的落实措施扣0.5分，未制定考核办法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物业服务人应用计算机、智能化设备等现代化管理手段，提高管理效率</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建立住用户档案、房屋及其配套设施权属清册，建立设施设备台帐，查阅方便</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（2分）每发现一处不符合扣0.2分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企业形象</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专业岗位操作人员按规定持有专业岗位证书（包括消防监控人员、电梯维修人员、高低压电工等），不同岗位服务人员分类统一着装，佩戴工作标志；服务人员态度热情耐心，举止文明礼貌，解答问题及时准确</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（2分）专业技术人员每发现1人无上岗证书扣0.1分：着装及标志符合0.5分，不符合0分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建立企业员工培训体系，根据不同岗位特点制订并落实员工分类培训计划，并有效实施</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设立物业服务中心，公示物业服务</w:t>
            </w:r>
            <w:r>
              <w:rPr>
                <w:rFonts w:hint="eastAsia" w:ascii="宋体" w:hAnsi="宋体" w:cs="宋体"/>
                <w:i w:val="0"/>
                <w:iCs w:val="0"/>
                <w:color w:val="auto"/>
                <w:kern w:val="0"/>
                <w:sz w:val="21"/>
                <w:szCs w:val="21"/>
                <w:u w:val="none"/>
                <w:lang w:val="en-US" w:eastAsia="zh-CN" w:bidi="ar"/>
              </w:rPr>
              <w:t>人</w:t>
            </w:r>
            <w:r>
              <w:rPr>
                <w:rFonts w:hint="eastAsia" w:ascii="宋体" w:hAnsi="宋体" w:eastAsia="宋体" w:cs="宋体"/>
                <w:i w:val="0"/>
                <w:iCs w:val="0"/>
                <w:color w:val="auto"/>
                <w:kern w:val="0"/>
                <w:sz w:val="21"/>
                <w:szCs w:val="21"/>
                <w:u w:val="none"/>
                <w:lang w:val="en-US" w:eastAsia="zh-CN" w:bidi="ar"/>
              </w:rPr>
              <w:t>营业执照、服务内容和标准、收费依据和标准、服务电话</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有专人负责接待客户来访，24小时受理客户信息；客服接待人员值班记录及时，客户信息处理记录完整，按月进行统计分析；有客户回访制度和记录，投诉处理及时率100%，并按月进行统计分析</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（2分）符合2分，值班制度不符合扣0.5分，未设服务电话扣0.5分，发现一处处理不及时扣0.2分，没有回访记录每次扣0.1分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1.6.5</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物业服务人在收费、财务管理、会计核算、税收等方面执行有关规定；实行酬金制或《物业服务合同》中有约定按期公开账务的，应至少每半年公开一次物业服务费用收支情况</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（2分）执行有关规定1分，未执行0分；公开1分，应公开而未公开的0分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客户服务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定期向住户开展满意度调查，对合理的建议及时整改，满意率达85％以上</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业主委员会按规定程序成立,并按章程履行职责，业主委员会与物业服务人签订物业管理合同，双方责权利明确</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（1分）符合1分；基本符合0.5分；不符合0</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协助业主大会工作，建立与业主委员会定期沟通报告的工作例会制度，积极听取业主和业主委员会对物业服务的意见和建议，主动接受业主和业主委员会的监督</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二、房屋管理与维修养护</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标识系统和维保资料</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主出入口设有小区平面示意图，管理区域内交通标志引导指示牌规范清晰，美观大方</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（2分）不符合每项扣1分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小区组团、栋、单元（门）、户门以及配套公建标识规范清晰</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共用部位使用管理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共用场地、部位符合规划要求，无违章搭建现，房屋共用部位使用符合建筑设计要求，无擅自改变用途现象（有上报批准材料情况除外）</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（1分）符合1分；不符合0</w:t>
            </w:r>
          </w:p>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房屋外观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状况</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房屋外观完好、整洁，无破损、脱落、渗水、污迹、乱贴、乱涂、乱画和乱挂现象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2.3.2</w:t>
            </w:r>
          </w:p>
        </w:tc>
        <w:tc>
          <w:tcPr>
            <w:tcW w:w="4287"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室外招牌、广告牌、夜景灯等设施按规定办理报批，手续齐全，色彩风格统一；封闭阳台、外廊及户外防盗网符合建筑设计要求和管理规约约定，手续齐全，样式、规格、色调、材质统一</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（2分）每发现一处不符合扣0.5分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vMerge w:val="continue"/>
            <w:noWrap w:val="0"/>
            <w:vAlign w:val="center"/>
          </w:tcPr>
          <w:p>
            <w:pPr>
              <w:jc w:val="center"/>
              <w:rPr>
                <w:rFonts w:hint="eastAsia" w:ascii="宋体" w:hAnsi="宋体" w:eastAsia="宋体" w:cs="宋体"/>
                <w:i w:val="0"/>
                <w:iCs w:val="0"/>
                <w:color w:val="auto"/>
                <w:sz w:val="21"/>
                <w:szCs w:val="21"/>
                <w:u w:val="none"/>
              </w:rPr>
            </w:pPr>
          </w:p>
        </w:tc>
        <w:tc>
          <w:tcPr>
            <w:tcW w:w="4287" w:type="dxa"/>
            <w:vMerge w:val="continue"/>
            <w:noWrap w:val="0"/>
            <w:vAlign w:val="center"/>
          </w:tcPr>
          <w:p>
            <w:pPr>
              <w:jc w:val="left"/>
              <w:rPr>
                <w:rFonts w:hint="eastAsia" w:ascii="宋体" w:hAnsi="宋体" w:eastAsia="宋体" w:cs="宋体"/>
                <w:i w:val="0"/>
                <w:iCs w:val="0"/>
                <w:color w:val="auto"/>
                <w:sz w:val="21"/>
                <w:szCs w:val="21"/>
                <w:u w:val="none"/>
              </w:rPr>
            </w:pP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空调、户外防盗网，管线整齐，美观大方，无安全隐患；发现安全隐患，及时告知或劝阻业主及相关当事人，并采取相应防范措施</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装饰装修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房屋装饰装修符合规定，未发生危及房屋结构安全及拆改管线和损害他人利益的现象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日常巡视、检查与管理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每日巡查屋面、单元门、楼梯、通道、窗户等共用部位，发现损坏，及时维修养护并做好记录；门窗无破损，楼梯、通道以及屋面无乱堆乱放现象，屋面防水性能良好</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三、共用设施设备管理</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共用设施设备管理和运行状况</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共用配套设施完好，无随意改变用途</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共用设施设备运行、使用及维护按规定要求有记录，无事故隐患， 专业技术人员和维护人员严格遵守操作规程与保养规范</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施设备专业管理人员配置合理，岗位责任明确；建立设施设备总账、台账、设备卡，设施设备标志齐全、规范；设施设备运行、维护、保养和检查等管理制度健全制定并实施年、季、月度设施设备维护、保养计划</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室外共用管线、管道和道路管理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室外共用管线统一入地或入公共管道，整齐有序，无架空管线</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排水、排污管道通畅，无堵塞外溢现象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（1分）符合1分，发现一处堵塞或外溢扣0.5分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道路通畅，路面整洁平整，路面井盖无缺损、无丢失，井盖表面标志清晰</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（2分）通畅平整1分，发现一处不通畅、不平整、积水扣0.2分；发现井盖缺损或丢失扣0.6分；路面井盖不影响通行0.4分，发现一处扣0.2分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给排水系统管理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给排水及中水系统设备完好、运行正常，日检查和月、季、年保养制度完善，二次供水水质定期检测，符合卫生标准；二次排污提升装置可随时按需启用</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（2分）不符合每项扣1分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水泵、阀门、管网等设备名称、流向、运行状态标志清晰，无锈蚀、无跑冒滴漏、无污染，水箱加盖上锁，周边无污染源，定期清洗、消毒，检查记录完整</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供电系统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制订供电系统管理措施并严格执行，记录完整：供电设备运行正常，配电室管理符合规定，路灯、楼道灯等公共照明设备完好率95%以上</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电梯系统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电梯按规定或约定时间运行，安全设施齐全，无安全事故，轿厢、井道保持清洁；电梯机房通风、照明良好；电梯准用证、年检合格证、维修保养合同完备</w:t>
            </w:r>
            <w:r>
              <w:rPr>
                <w:rFonts w:hint="eastAsia" w:ascii="宋体" w:hAnsi="宋体" w:cs="宋体"/>
                <w:i w:val="0"/>
                <w:iCs w:val="0"/>
                <w:color w:val="auto"/>
                <w:kern w:val="0"/>
                <w:sz w:val="21"/>
                <w:szCs w:val="21"/>
                <w:u w:val="none"/>
                <w:lang w:val="en-US" w:eastAsia="zh-CN" w:bidi="ar"/>
              </w:rPr>
              <w:t>、维保记录完整</w:t>
            </w:r>
            <w:r>
              <w:rPr>
                <w:rFonts w:hint="eastAsia" w:ascii="宋体" w:hAnsi="宋体" w:eastAsia="宋体" w:cs="宋体"/>
                <w:i w:val="0"/>
                <w:iCs w:val="0"/>
                <w:color w:val="auto"/>
                <w:kern w:val="0"/>
                <w:sz w:val="21"/>
                <w:szCs w:val="21"/>
                <w:u w:val="none"/>
                <w:lang w:val="en-US" w:eastAsia="zh-CN" w:bidi="ar"/>
              </w:rPr>
              <w:t>；制定出现故障后的应急处理方案</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（2分）符合2分，发现一处不符合扣0.5分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设备机房管理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3.6.1</w:t>
            </w:r>
          </w:p>
        </w:tc>
        <w:tc>
          <w:tcPr>
            <w:tcW w:w="428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设备系统图、操作规程、岗位责任制度、应急预案流程图、特种作业人员资格证书等齐全，张贴于机房明显位置</w:t>
            </w:r>
          </w:p>
        </w:tc>
        <w:tc>
          <w:tcPr>
            <w:tcW w:w="2745"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（4分）不符合每项扣1分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3.6.2</w:t>
            </w:r>
          </w:p>
        </w:tc>
        <w:tc>
          <w:tcPr>
            <w:tcW w:w="428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设备管线标志清晰，仪器仪表运行正常、数据准确</w:t>
            </w:r>
          </w:p>
        </w:tc>
        <w:tc>
          <w:tcPr>
            <w:tcW w:w="2745" w:type="dxa"/>
            <w:vMerge w:val="continue"/>
            <w:noWrap w:val="0"/>
            <w:vAlign w:val="center"/>
          </w:tcPr>
          <w:p>
            <w:pPr>
              <w:jc w:val="center"/>
              <w:rPr>
                <w:rFonts w:hint="eastAsia" w:ascii="宋体" w:hAnsi="宋体" w:eastAsia="宋体" w:cs="宋体"/>
                <w:i w:val="0"/>
                <w:iCs w:val="0"/>
                <w:color w:val="auto"/>
                <w:sz w:val="21"/>
                <w:szCs w:val="21"/>
                <w:u w:val="none"/>
              </w:rPr>
            </w:pPr>
          </w:p>
        </w:tc>
        <w:tc>
          <w:tcPr>
            <w:tcW w:w="868" w:type="dxa"/>
            <w:noWrap w:val="0"/>
            <w:vAlign w:val="center"/>
          </w:tcPr>
          <w:p>
            <w:pPr>
              <w:jc w:val="center"/>
              <w:rPr>
                <w:rFonts w:hint="eastAsia" w:ascii="宋体" w:hAnsi="宋体" w:eastAsia="宋体" w:cs="宋体"/>
                <w:b/>
                <w:bCs/>
                <w:i w:val="0"/>
                <w:iCs w:val="0"/>
                <w:color w:val="auto"/>
                <w:sz w:val="21"/>
                <w:szCs w:val="21"/>
                <w:u w:val="none"/>
              </w:rPr>
            </w:pPr>
          </w:p>
        </w:tc>
        <w:tc>
          <w:tcPr>
            <w:tcW w:w="917" w:type="dxa"/>
            <w:noWrap w:val="0"/>
            <w:vAlign w:val="center"/>
          </w:tcPr>
          <w:p>
            <w:pPr>
              <w:jc w:val="center"/>
              <w:rPr>
                <w:rFonts w:hint="eastAsia" w:ascii="宋体" w:hAnsi="宋体" w:eastAsia="宋体" w:cs="宋体"/>
                <w:b/>
                <w:bCs/>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3.6.3</w:t>
            </w:r>
          </w:p>
        </w:tc>
        <w:tc>
          <w:tcPr>
            <w:tcW w:w="428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机房整洁、无渗漏、无积水、无杂物堆放，设备表面无积尘、无锈蚀，防鼠板、防鼠网材质、规格，防鼠药物投放等符合规范要求</w:t>
            </w:r>
          </w:p>
        </w:tc>
        <w:tc>
          <w:tcPr>
            <w:tcW w:w="2745" w:type="dxa"/>
            <w:vMerge w:val="continue"/>
            <w:noWrap w:val="0"/>
            <w:vAlign w:val="center"/>
          </w:tcPr>
          <w:p>
            <w:pPr>
              <w:jc w:val="center"/>
              <w:rPr>
                <w:rFonts w:hint="eastAsia" w:ascii="宋体" w:hAnsi="宋体" w:eastAsia="宋体" w:cs="宋体"/>
                <w:i w:val="0"/>
                <w:iCs w:val="0"/>
                <w:color w:val="auto"/>
                <w:sz w:val="21"/>
                <w:szCs w:val="21"/>
                <w:u w:val="none"/>
              </w:rPr>
            </w:pPr>
          </w:p>
        </w:tc>
        <w:tc>
          <w:tcPr>
            <w:tcW w:w="868" w:type="dxa"/>
            <w:noWrap w:val="0"/>
            <w:vAlign w:val="center"/>
          </w:tcPr>
          <w:p>
            <w:pPr>
              <w:jc w:val="center"/>
              <w:rPr>
                <w:rFonts w:hint="eastAsia" w:ascii="宋体" w:hAnsi="宋体" w:eastAsia="宋体" w:cs="宋体"/>
                <w:b/>
                <w:bCs/>
                <w:i w:val="0"/>
                <w:iCs w:val="0"/>
                <w:color w:val="auto"/>
                <w:sz w:val="21"/>
                <w:szCs w:val="21"/>
                <w:u w:val="none"/>
              </w:rPr>
            </w:pPr>
          </w:p>
        </w:tc>
        <w:tc>
          <w:tcPr>
            <w:tcW w:w="917" w:type="dxa"/>
            <w:noWrap w:val="0"/>
            <w:vAlign w:val="center"/>
          </w:tcPr>
          <w:p>
            <w:pPr>
              <w:jc w:val="center"/>
              <w:rPr>
                <w:rFonts w:hint="eastAsia" w:ascii="宋体" w:hAnsi="宋体" w:eastAsia="宋体" w:cs="宋体"/>
                <w:b/>
                <w:bCs/>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3.6.4</w:t>
            </w:r>
          </w:p>
        </w:tc>
        <w:tc>
          <w:tcPr>
            <w:tcW w:w="4287" w:type="dxa"/>
            <w:noWrap w:val="0"/>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设备噪声符合规范要求，有环境要求的设备机房，温、湿度在规定范围内</w:t>
            </w:r>
          </w:p>
        </w:tc>
        <w:tc>
          <w:tcPr>
            <w:tcW w:w="2745" w:type="dxa"/>
            <w:vMerge w:val="continue"/>
            <w:noWrap w:val="0"/>
            <w:vAlign w:val="center"/>
          </w:tcPr>
          <w:p>
            <w:pPr>
              <w:jc w:val="center"/>
              <w:rPr>
                <w:rFonts w:hint="eastAsia" w:ascii="宋体" w:hAnsi="宋体" w:eastAsia="宋体" w:cs="宋体"/>
                <w:i w:val="0"/>
                <w:iCs w:val="0"/>
                <w:color w:val="auto"/>
                <w:sz w:val="21"/>
                <w:szCs w:val="21"/>
                <w:u w:val="none"/>
              </w:rPr>
            </w:pPr>
          </w:p>
        </w:tc>
        <w:tc>
          <w:tcPr>
            <w:tcW w:w="868" w:type="dxa"/>
            <w:noWrap w:val="0"/>
            <w:vAlign w:val="center"/>
          </w:tcPr>
          <w:p>
            <w:pPr>
              <w:jc w:val="center"/>
              <w:rPr>
                <w:rFonts w:hint="eastAsia" w:ascii="宋体" w:hAnsi="宋体" w:eastAsia="宋体" w:cs="宋体"/>
                <w:b/>
                <w:bCs/>
                <w:i w:val="0"/>
                <w:iCs w:val="0"/>
                <w:color w:val="auto"/>
                <w:sz w:val="21"/>
                <w:szCs w:val="21"/>
                <w:u w:val="none"/>
              </w:rPr>
            </w:pPr>
          </w:p>
        </w:tc>
        <w:tc>
          <w:tcPr>
            <w:tcW w:w="917" w:type="dxa"/>
            <w:noWrap w:val="0"/>
            <w:vAlign w:val="center"/>
          </w:tcPr>
          <w:p>
            <w:pPr>
              <w:jc w:val="center"/>
              <w:rPr>
                <w:rFonts w:hint="eastAsia" w:ascii="宋体" w:hAnsi="宋体" w:eastAsia="宋体" w:cs="宋体"/>
                <w:b/>
                <w:bCs/>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四、消防、秩序维护管理</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秩序维护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小区实行封闭式管理，对外来人员、车辆和物品进出实行管理，监控设施和门禁系统运行良好，监控记录保存符合规定要求</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（3分）不符合每项扣1分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安全监控室及主出入口实行24小时值班，对外来人员和物品进行24小时监控</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4.1.3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安全标识设置合理，对可能危及人身安全的地点和设施设备，有明显警示标志和防范措施</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消防安全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制定消防安全制度，消防安全操作规程，并有效实施</w:t>
            </w:r>
          </w:p>
        </w:tc>
        <w:tc>
          <w:tcPr>
            <w:tcW w:w="2745" w:type="dxa"/>
            <w:vMerge w:val="restart"/>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（2分）不符合每项扣0.5分</w:t>
            </w:r>
          </w:p>
        </w:tc>
        <w:tc>
          <w:tcPr>
            <w:tcW w:w="868" w:type="dxa"/>
            <w:vMerge w:val="restart"/>
            <w:noWrap w:val="0"/>
            <w:vAlign w:val="center"/>
          </w:tcPr>
          <w:p>
            <w:pPr>
              <w:jc w:val="center"/>
              <w:rPr>
                <w:rFonts w:hint="eastAsia" w:ascii="宋体" w:hAnsi="宋体" w:eastAsia="宋体" w:cs="宋体"/>
                <w:i w:val="0"/>
                <w:iCs w:val="0"/>
                <w:color w:val="auto"/>
                <w:sz w:val="21"/>
                <w:szCs w:val="21"/>
                <w:u w:val="none"/>
              </w:rPr>
            </w:pPr>
          </w:p>
        </w:tc>
        <w:tc>
          <w:tcPr>
            <w:tcW w:w="917" w:type="dxa"/>
            <w:vMerge w:val="restart"/>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实行防火安全责任制，明确消防安全责任人，消防值班人员持证上岗</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消防中控室实行24小时专人值班制度，值班记录完整、科学</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消防安全定期巡视检查，记录完整，消防安全隐患及时整改</w:t>
            </w:r>
          </w:p>
        </w:tc>
        <w:tc>
          <w:tcPr>
            <w:tcW w:w="2745" w:type="dxa"/>
            <w:vMerge w:val="continue"/>
            <w:noWrap w:val="0"/>
            <w:vAlign w:val="center"/>
          </w:tcPr>
          <w:p>
            <w:pPr>
              <w:jc w:val="left"/>
              <w:rPr>
                <w:rFonts w:hint="eastAsia" w:ascii="宋体" w:hAnsi="宋体" w:eastAsia="宋体" w:cs="宋体"/>
                <w:i w:val="0"/>
                <w:iCs w:val="0"/>
                <w:color w:val="auto"/>
                <w:sz w:val="21"/>
                <w:szCs w:val="21"/>
                <w:u w:val="none"/>
              </w:rPr>
            </w:pPr>
          </w:p>
        </w:tc>
        <w:tc>
          <w:tcPr>
            <w:tcW w:w="868" w:type="dxa"/>
            <w:vMerge w:val="continue"/>
            <w:noWrap w:val="0"/>
            <w:vAlign w:val="center"/>
          </w:tcPr>
          <w:p>
            <w:pPr>
              <w:jc w:val="center"/>
              <w:rPr>
                <w:rFonts w:hint="eastAsia" w:ascii="宋体" w:hAnsi="宋体" w:eastAsia="宋体" w:cs="宋体"/>
                <w:i w:val="0"/>
                <w:iCs w:val="0"/>
                <w:color w:val="auto"/>
                <w:sz w:val="21"/>
                <w:szCs w:val="21"/>
                <w:u w:val="none"/>
              </w:rPr>
            </w:pPr>
          </w:p>
        </w:tc>
        <w:tc>
          <w:tcPr>
            <w:tcW w:w="917" w:type="dxa"/>
            <w:vMerge w:val="continue"/>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4.2.5</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定期开展消防安全宣传，进行消防知识培训消防演练每年不少于一次，积极动员业主参与，资料完整</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（1分）符合1分，不符合扣1分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4.2.6</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color w:val="auto"/>
              </w:rPr>
              <w:t>消防维保合同和维保记录</w:t>
            </w:r>
            <w:r>
              <w:rPr>
                <w:rFonts w:hint="eastAsia"/>
                <w:color w:val="auto"/>
                <w:lang w:eastAsia="zh-CN"/>
              </w:rPr>
              <w:t>完备</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（1分）符合1分，不符合扣1分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交通秩序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机动车停车场管理制度完善，管理责任明确，车辆进出有登记</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（2分）制度完善0.5分，基本完善0.3分，不完善0分；因管理责任造成车辆丢失扣0.5分；每发现一台车辆乱停放扣0.1分，出入无记录扣0.2分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非机动车车辆管理制度完善，按规定位置停放，管理有序</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分）符合</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分，制度不全或不落实的扣</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分，乱停放每部车扣0.2分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公示停车场管理规定、停车收费标准和紧急联系电话</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（1分）符合1分，不符合扣1分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固定车辆停放</w:t>
            </w:r>
            <w:r>
              <w:rPr>
                <w:rFonts w:hint="eastAsia" w:ascii="宋体" w:hAnsi="宋体" w:eastAsia="宋体" w:cs="宋体"/>
                <w:i w:val="0"/>
                <w:iCs w:val="0"/>
                <w:color w:val="auto"/>
                <w:kern w:val="0"/>
                <w:sz w:val="21"/>
                <w:szCs w:val="21"/>
                <w:u w:val="none"/>
                <w:lang w:val="en-US" w:eastAsia="zh-CN" w:bidi="ar"/>
              </w:rPr>
              <w:t>签订</w:t>
            </w:r>
            <w:r>
              <w:rPr>
                <w:rFonts w:hint="eastAsia" w:ascii="宋体" w:hAnsi="宋体" w:cs="宋体"/>
                <w:i w:val="0"/>
                <w:iCs w:val="0"/>
                <w:color w:val="auto"/>
                <w:kern w:val="0"/>
                <w:sz w:val="21"/>
                <w:szCs w:val="21"/>
                <w:u w:val="none"/>
                <w:lang w:val="en-US" w:eastAsia="zh-CN" w:bidi="ar"/>
              </w:rPr>
              <w:t>有</w:t>
            </w:r>
            <w:r>
              <w:rPr>
                <w:rFonts w:hint="eastAsia" w:ascii="宋体" w:hAnsi="宋体" w:eastAsia="宋体" w:cs="宋体"/>
                <w:i w:val="0"/>
                <w:iCs w:val="0"/>
                <w:color w:val="auto"/>
                <w:kern w:val="0"/>
                <w:sz w:val="21"/>
                <w:szCs w:val="21"/>
                <w:u w:val="none"/>
                <w:lang w:val="en-US" w:eastAsia="zh-CN" w:bidi="ar"/>
              </w:rPr>
              <w:t>停车服务协议，明确相关权利义务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（1分）符合1分，不符合扣1分</w:t>
            </w:r>
          </w:p>
        </w:tc>
        <w:tc>
          <w:tcPr>
            <w:tcW w:w="868" w:type="dxa"/>
            <w:noWrap w:val="0"/>
            <w:vAlign w:val="center"/>
          </w:tcPr>
          <w:p>
            <w:pPr>
              <w:jc w:val="center"/>
              <w:rPr>
                <w:rFonts w:hint="eastAsia" w:ascii="宋体" w:hAnsi="宋体" w:eastAsia="宋体" w:cs="宋体"/>
                <w:b/>
                <w:bCs/>
                <w:i w:val="0"/>
                <w:iCs w:val="0"/>
                <w:color w:val="auto"/>
                <w:sz w:val="21"/>
                <w:szCs w:val="21"/>
                <w:u w:val="none"/>
              </w:rPr>
            </w:pPr>
          </w:p>
        </w:tc>
        <w:tc>
          <w:tcPr>
            <w:tcW w:w="917" w:type="dxa"/>
            <w:noWrap w:val="0"/>
            <w:vAlign w:val="center"/>
          </w:tcPr>
          <w:p>
            <w:pPr>
              <w:jc w:val="center"/>
              <w:rPr>
                <w:rFonts w:hint="eastAsia" w:ascii="宋体" w:hAnsi="宋体" w:eastAsia="宋体" w:cs="宋体"/>
                <w:b/>
                <w:bCs/>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五、环境卫生管理</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环境卫生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环卫设备完备；垃圾实行分类管理，日产日清，垃圾桶无满溢现象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保洁人员按合同约定配置合理，责任区域明确</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定期对保洁设施设备进行卫生消毒</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防治鼠害、虫害等有计划，有措施，有记录，且规范科学</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（1分）符合1分，每发现一处不符合扣0.2分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5.1.5</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房屋共用部位及共用设施设备保持清洁，管理区域内道路、绿地、停车场、文体活动区域等共用场地无纸屑、烟头、塑料袋等废弃物</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5.1.6</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无违反规定饲养宠物、家禽、家畜</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5.1.7</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商业网点管理有序，符合卫生标准；无乱设摊点、广告牌和乱贴、乱画现象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（2分）符合2分，每发现一处不符合扣0.2分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5.1.8</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排放油烟、噪音等符合国家环保标准，外墙无污染</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（1分）符合1分，每发现一处不符合扣0.2分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六、绿化管理</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6.1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绿化管理</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小区内绿地布局、植物栽培与小区景观设计或建设单位移交环境吻合</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（1分）符合1分，基本符合0.5分，不符合0分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制定并落实绿化养护计划，设备、工具台帐完善绿化养护人员配置合理，责任区域明确</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（1分）符合1分，基本符合0.5分，不符合0分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绿地无改变使用用途和破坏、践踏、占用、脏乱现象</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（2分）符合2分，基本符合1分，不符合0分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6.1.4</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花草树木长势良好，修剪整齐美观，无病虫害，无折损现象，无斑秃</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（2分）长势不好扣1分，其它每发现一处不符合扣0.2分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七、精神文明建设</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精神文明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建设</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开展有意义、健康向上的社区文化活动</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（2分）符合2分，基本符合1分，不符合0分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创造条件，积极配合、支持并参与社区文化建设，配合政府相关部门开展各项创建治理工作</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（1分）符合1分，基本符合0.5分，不符合0分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八、管理效益</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228"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管理效益</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物业服务费用收缴率90％以上</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（2分）符合2分，每降低1个百分点扣0.5分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提供便民有偿服务，开展多种经营</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（2分）符合2分，基本符合1分，不符合0分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28" w:type="dxa"/>
            <w:vMerge w:val="continue"/>
            <w:noWrap w:val="0"/>
            <w:vAlign w:val="center"/>
          </w:tcPr>
          <w:p>
            <w:pPr>
              <w:jc w:val="center"/>
              <w:rPr>
                <w:rFonts w:hint="eastAsia" w:ascii="宋体" w:hAnsi="宋体" w:eastAsia="宋体" w:cs="宋体"/>
                <w:i w:val="0"/>
                <w:iCs w:val="0"/>
                <w:color w:val="auto"/>
                <w:sz w:val="21"/>
                <w:szCs w:val="21"/>
                <w:u w:val="none"/>
              </w:rPr>
            </w:pP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8.1.3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项目物业管理经营状况</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（1分）盈利1分，持平0.5分，亏本0分</w:t>
            </w:r>
          </w:p>
        </w:tc>
        <w:tc>
          <w:tcPr>
            <w:tcW w:w="868" w:type="dxa"/>
            <w:noWrap w:val="0"/>
            <w:vAlign w:val="center"/>
          </w:tcPr>
          <w:p>
            <w:pPr>
              <w:jc w:val="center"/>
              <w:rPr>
                <w:rFonts w:hint="eastAsia" w:ascii="宋体" w:hAnsi="宋体" w:eastAsia="宋体" w:cs="宋体"/>
                <w:i w:val="0"/>
                <w:iCs w:val="0"/>
                <w:color w:val="auto"/>
                <w:sz w:val="21"/>
                <w:szCs w:val="21"/>
                <w:u w:val="none"/>
              </w:rPr>
            </w:pPr>
          </w:p>
        </w:tc>
        <w:tc>
          <w:tcPr>
            <w:tcW w:w="917" w:type="dxa"/>
            <w:noWrap w:val="0"/>
            <w:vAlign w:val="center"/>
          </w:tcPr>
          <w:p>
            <w:pPr>
              <w:jc w:val="cente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85"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九、加分项</w:t>
            </w:r>
          </w:p>
        </w:tc>
        <w:tc>
          <w:tcPr>
            <w:tcW w:w="4530" w:type="dxa"/>
            <w:gridSpan w:val="3"/>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5</w:t>
            </w:r>
            <w:r>
              <w:rPr>
                <w:rFonts w:hint="eastAsia" w:ascii="宋体" w:hAnsi="宋体" w:eastAsia="宋体" w:cs="宋体"/>
                <w:b/>
                <w:bCs/>
                <w:i w:val="0"/>
                <w:iCs w:val="0"/>
                <w:color w:val="auto"/>
                <w:kern w:val="0"/>
                <w:sz w:val="21"/>
                <w:szCs w:val="21"/>
                <w:u w:val="none"/>
                <w:lang w:val="en-US" w:eastAsia="zh-CN"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党建工作</w:t>
            </w:r>
          </w:p>
        </w:tc>
        <w:tc>
          <w:tcPr>
            <w:tcW w:w="107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严格按照规定在所服务的项目上建立中国共产党基层组织，并积极开展活动，广泛宣传党建政策</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（1分）符合加1分</w:t>
            </w:r>
          </w:p>
        </w:tc>
        <w:tc>
          <w:tcPr>
            <w:tcW w:w="868" w:type="dxa"/>
            <w:noWrap/>
            <w:vAlign w:val="center"/>
          </w:tcPr>
          <w:p>
            <w:pPr>
              <w:rPr>
                <w:rFonts w:hint="eastAsia" w:ascii="宋体" w:hAnsi="宋体" w:eastAsia="宋体" w:cs="宋体"/>
                <w:i w:val="0"/>
                <w:iCs w:val="0"/>
                <w:color w:val="auto"/>
                <w:sz w:val="21"/>
                <w:szCs w:val="21"/>
                <w:u w:val="none"/>
              </w:rPr>
            </w:pPr>
          </w:p>
        </w:tc>
        <w:tc>
          <w:tcPr>
            <w:tcW w:w="917" w:type="dxa"/>
            <w:noWrap/>
            <w:vAlign w:val="center"/>
          </w:tcPr>
          <w:p>
            <w:pP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疫情防控</w:t>
            </w:r>
          </w:p>
        </w:tc>
        <w:tc>
          <w:tcPr>
            <w:tcW w:w="107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2</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落实各项疫情防控措施，积极配合相关部门及街道开展疫情防控工作</w:t>
            </w:r>
          </w:p>
        </w:tc>
        <w:tc>
          <w:tcPr>
            <w:tcW w:w="274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（1分）符合加1分</w:t>
            </w:r>
          </w:p>
        </w:tc>
        <w:tc>
          <w:tcPr>
            <w:tcW w:w="868" w:type="dxa"/>
            <w:noWrap/>
            <w:vAlign w:val="center"/>
          </w:tcPr>
          <w:p>
            <w:pPr>
              <w:rPr>
                <w:rFonts w:hint="eastAsia" w:ascii="宋体" w:hAnsi="宋体" w:eastAsia="宋体" w:cs="宋体"/>
                <w:i w:val="0"/>
                <w:iCs w:val="0"/>
                <w:color w:val="auto"/>
                <w:sz w:val="21"/>
                <w:szCs w:val="21"/>
                <w:u w:val="none"/>
              </w:rPr>
            </w:pPr>
          </w:p>
        </w:tc>
        <w:tc>
          <w:tcPr>
            <w:tcW w:w="917" w:type="dxa"/>
            <w:noWrap/>
            <w:vAlign w:val="center"/>
          </w:tcPr>
          <w:p>
            <w:pPr>
              <w:rPr>
                <w:rFonts w:hint="eastAsia" w:ascii="宋体" w:hAnsi="宋体" w:eastAsia="宋体" w:cs="宋体"/>
                <w:i w:val="0"/>
                <w:iCs w:val="0"/>
                <w:color w:val="auto"/>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2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业绩评价</w:t>
            </w:r>
          </w:p>
        </w:tc>
        <w:tc>
          <w:tcPr>
            <w:tcW w:w="1070" w:type="dxa"/>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w:t>
            </w:r>
            <w:r>
              <w:rPr>
                <w:rFonts w:hint="eastAsia" w:ascii="宋体" w:hAnsi="宋体" w:cs="宋体"/>
                <w:i w:val="0"/>
                <w:iCs w:val="0"/>
                <w:color w:val="auto"/>
                <w:kern w:val="0"/>
                <w:sz w:val="21"/>
                <w:szCs w:val="21"/>
                <w:u w:val="none"/>
                <w:lang w:val="en-US" w:eastAsia="zh-CN" w:bidi="ar"/>
              </w:rPr>
              <w:t>3</w:t>
            </w:r>
          </w:p>
        </w:tc>
        <w:tc>
          <w:tcPr>
            <w:tcW w:w="4287"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获得政府部门颁发的荣誉，</w:t>
            </w:r>
            <w:r>
              <w:rPr>
                <w:rFonts w:hint="eastAsia" w:ascii="宋体" w:hAnsi="宋体" w:cs="宋体"/>
                <w:i w:val="0"/>
                <w:iCs w:val="0"/>
                <w:color w:val="auto"/>
                <w:kern w:val="0"/>
                <w:sz w:val="21"/>
                <w:szCs w:val="21"/>
                <w:u w:val="none"/>
                <w:lang w:val="en-US" w:eastAsia="zh-CN" w:bidi="ar"/>
              </w:rPr>
              <w:t>国家级</w:t>
            </w:r>
            <w:r>
              <w:rPr>
                <w:rFonts w:hint="eastAsia" w:ascii="宋体" w:hAnsi="宋体" w:eastAsia="宋体" w:cs="宋体"/>
                <w:i w:val="0"/>
                <w:iCs w:val="0"/>
                <w:color w:val="auto"/>
                <w:kern w:val="0"/>
                <w:sz w:val="21"/>
                <w:szCs w:val="21"/>
                <w:u w:val="none"/>
                <w:lang w:val="en-US" w:eastAsia="zh-CN" w:bidi="ar"/>
              </w:rPr>
              <w:t>1项（次）得</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r>
              <w:rPr>
                <w:rFonts w:hint="eastAsia" w:ascii="宋体" w:hAnsi="宋体" w:cs="宋体"/>
                <w:i w:val="0"/>
                <w:iCs w:val="0"/>
                <w:color w:val="auto"/>
                <w:kern w:val="0"/>
                <w:sz w:val="21"/>
                <w:szCs w:val="21"/>
                <w:u w:val="none"/>
                <w:lang w:val="en-US" w:eastAsia="zh-CN" w:bidi="ar"/>
              </w:rPr>
              <w:t>，省</w:t>
            </w:r>
            <w:r>
              <w:rPr>
                <w:rFonts w:hint="eastAsia" w:ascii="宋体" w:hAnsi="宋体" w:eastAsia="宋体" w:cs="宋体"/>
                <w:i w:val="0"/>
                <w:iCs w:val="0"/>
                <w:color w:val="auto"/>
                <w:kern w:val="0"/>
                <w:sz w:val="21"/>
                <w:szCs w:val="21"/>
                <w:u w:val="none"/>
                <w:lang w:val="en-US" w:eastAsia="zh-CN" w:bidi="ar"/>
              </w:rPr>
              <w:t>级1项（次）得</w:t>
            </w:r>
            <w:r>
              <w:rPr>
                <w:rFonts w:hint="eastAsia" w:ascii="宋体" w:hAnsi="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t>分，市级1项（次）得</w:t>
            </w:r>
            <w:r>
              <w:rPr>
                <w:rFonts w:hint="eastAsia" w:ascii="宋体" w:hAnsi="宋体" w:cs="宋体"/>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分，区县级1项（次）的</w:t>
            </w:r>
            <w:r>
              <w:rPr>
                <w:rFonts w:hint="eastAsia" w:ascii="宋体" w:hAnsi="宋体" w:cs="宋体"/>
                <w:i w:val="0"/>
                <w:iCs w:val="0"/>
                <w:color w:val="auto"/>
                <w:kern w:val="0"/>
                <w:sz w:val="21"/>
                <w:szCs w:val="21"/>
                <w:u w:val="none"/>
                <w:lang w:val="en-US" w:eastAsia="zh-CN" w:bidi="ar"/>
              </w:rPr>
              <w:t>0.5</w:t>
            </w:r>
            <w:r>
              <w:rPr>
                <w:rFonts w:hint="eastAsia" w:ascii="宋体" w:hAnsi="宋体" w:eastAsia="宋体" w:cs="宋体"/>
                <w:i w:val="0"/>
                <w:iCs w:val="0"/>
                <w:color w:val="auto"/>
                <w:kern w:val="0"/>
                <w:sz w:val="21"/>
                <w:szCs w:val="21"/>
                <w:u w:val="none"/>
                <w:lang w:val="en-US" w:eastAsia="zh-CN" w:bidi="ar"/>
              </w:rPr>
              <w:t>分</w:t>
            </w:r>
          </w:p>
        </w:tc>
        <w:tc>
          <w:tcPr>
            <w:tcW w:w="0" w:type="auto"/>
            <w:noWrap/>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（3分）累计最多加3分</w:t>
            </w:r>
          </w:p>
        </w:tc>
        <w:tc>
          <w:tcPr>
            <w:tcW w:w="868" w:type="dxa"/>
            <w:noWrap/>
            <w:vAlign w:val="center"/>
          </w:tcPr>
          <w:p>
            <w:pPr>
              <w:rPr>
                <w:rFonts w:hint="eastAsia" w:ascii="宋体" w:hAnsi="宋体" w:eastAsia="宋体" w:cs="宋体"/>
                <w:i w:val="0"/>
                <w:iCs w:val="0"/>
                <w:color w:val="auto"/>
                <w:sz w:val="21"/>
                <w:szCs w:val="21"/>
                <w:u w:val="none"/>
              </w:rPr>
            </w:pPr>
          </w:p>
        </w:tc>
        <w:tc>
          <w:tcPr>
            <w:tcW w:w="917" w:type="dxa"/>
            <w:noWrap/>
            <w:vAlign w:val="center"/>
          </w:tcPr>
          <w:p>
            <w:pPr>
              <w:rPr>
                <w:rFonts w:hint="eastAsia" w:ascii="宋体" w:hAnsi="宋体" w:eastAsia="宋体" w:cs="宋体"/>
                <w:i w:val="0"/>
                <w:iCs w:val="0"/>
                <w:color w:val="auto"/>
                <w:sz w:val="21"/>
                <w:szCs w:val="21"/>
                <w:u w:val="none"/>
              </w:rPr>
            </w:pPr>
          </w:p>
        </w:tc>
      </w:tr>
    </w:tbl>
    <w:p>
      <w:pPr>
        <w:rPr>
          <w:rFonts w:hint="eastAsia"/>
          <w:color w:val="auto"/>
        </w:rPr>
      </w:pPr>
    </w:p>
    <w:p>
      <w:pPr>
        <w:rPr>
          <w:rFonts w:hint="eastAsia"/>
          <w:color w:val="auto"/>
        </w:rPr>
      </w:pPr>
    </w:p>
    <w:p>
      <w:pPr>
        <w:rPr>
          <w:rFonts w:hint="eastAsia"/>
          <w:color w:val="auto"/>
        </w:rPr>
      </w:pPr>
    </w:p>
    <w:p>
      <w:pPr>
        <w:rPr>
          <w:rFonts w:hint="eastAsia"/>
          <w:color w:val="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cs="宋体"/>
          <w:b/>
          <w:bCs w:val="0"/>
          <w:color w:val="auto"/>
          <w:sz w:val="28"/>
          <w:szCs w:val="28"/>
          <w:lang w:eastAsia="zh-CN"/>
        </w:rPr>
      </w:pPr>
    </w:p>
    <w:p>
      <w:pPr>
        <w:pStyle w:val="3"/>
        <w:keepNext w:val="0"/>
        <w:keepLines w:val="0"/>
        <w:pageBreakBefore w:val="0"/>
        <w:kinsoku/>
        <w:wordWrap/>
        <w:overflowPunct/>
        <w:topLinePunct w:val="0"/>
        <w:autoSpaceDE/>
        <w:autoSpaceDN/>
        <w:bidi w:val="0"/>
        <w:adjustRightInd/>
        <w:snapToGrid/>
        <w:spacing w:line="500" w:lineRule="exact"/>
        <w:ind w:firstLine="562" w:firstLineChars="200"/>
        <w:textAlignment w:val="auto"/>
        <w:rPr>
          <w:rFonts w:hint="eastAsia" w:ascii="宋体" w:hAnsi="宋体" w:eastAsia="宋体" w:cs="宋体"/>
          <w:b/>
          <w:bCs w:val="0"/>
          <w:sz w:val="28"/>
          <w:szCs w:val="28"/>
          <w:lang w:eastAsia="zh-CN"/>
        </w:rPr>
      </w:pPr>
    </w:p>
    <w:p>
      <w:pPr>
        <w:rPr>
          <w:rFonts w:hint="eastAsia"/>
        </w:rPr>
      </w:pPr>
    </w:p>
    <w:p>
      <w:pPr>
        <w:rPr>
          <w:rFonts w:hint="eastAsia"/>
        </w:rPr>
      </w:pPr>
    </w:p>
    <w:p>
      <w:pPr>
        <w:rPr>
          <w:rFonts w:hint="eastAsia"/>
          <w:lang w:val="en-US" w:eastAsia="zh-CN"/>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NDc0OTI0NjM2M2M2MTQ1OGI5YjgyYWQyZWIzMTUifQ=="/>
  </w:docVars>
  <w:rsids>
    <w:rsidRoot w:val="00FC73F8"/>
    <w:rsid w:val="0018392F"/>
    <w:rsid w:val="00186D17"/>
    <w:rsid w:val="002941CC"/>
    <w:rsid w:val="0029443E"/>
    <w:rsid w:val="00356A44"/>
    <w:rsid w:val="003D4A37"/>
    <w:rsid w:val="008E1228"/>
    <w:rsid w:val="00903748"/>
    <w:rsid w:val="00AD7AD5"/>
    <w:rsid w:val="00BE2E9C"/>
    <w:rsid w:val="00FC73F8"/>
    <w:rsid w:val="01CF7782"/>
    <w:rsid w:val="02B80216"/>
    <w:rsid w:val="04206073"/>
    <w:rsid w:val="05067CF3"/>
    <w:rsid w:val="071F6207"/>
    <w:rsid w:val="07F71E08"/>
    <w:rsid w:val="0A8F7AAE"/>
    <w:rsid w:val="0B7C44D7"/>
    <w:rsid w:val="0BE43E2A"/>
    <w:rsid w:val="0EE77EB9"/>
    <w:rsid w:val="11B524F0"/>
    <w:rsid w:val="14750F08"/>
    <w:rsid w:val="191D17FF"/>
    <w:rsid w:val="19502A0E"/>
    <w:rsid w:val="1C163B8C"/>
    <w:rsid w:val="1C623275"/>
    <w:rsid w:val="1E2A6014"/>
    <w:rsid w:val="1E935967"/>
    <w:rsid w:val="1EB3600A"/>
    <w:rsid w:val="20713A86"/>
    <w:rsid w:val="23F42A3B"/>
    <w:rsid w:val="245A504D"/>
    <w:rsid w:val="2460453E"/>
    <w:rsid w:val="25321EF7"/>
    <w:rsid w:val="25AC4C58"/>
    <w:rsid w:val="260D63C5"/>
    <w:rsid w:val="27197731"/>
    <w:rsid w:val="277520A9"/>
    <w:rsid w:val="27C92BA2"/>
    <w:rsid w:val="29C20A67"/>
    <w:rsid w:val="2AD31BAE"/>
    <w:rsid w:val="2B0C1E2E"/>
    <w:rsid w:val="2D4A1112"/>
    <w:rsid w:val="2F6B58EF"/>
    <w:rsid w:val="31B163D9"/>
    <w:rsid w:val="31DE7ED9"/>
    <w:rsid w:val="32496611"/>
    <w:rsid w:val="32D700C1"/>
    <w:rsid w:val="3307027A"/>
    <w:rsid w:val="34D36666"/>
    <w:rsid w:val="35775243"/>
    <w:rsid w:val="369D6F2B"/>
    <w:rsid w:val="36E44B5A"/>
    <w:rsid w:val="375A4E1C"/>
    <w:rsid w:val="382D42DF"/>
    <w:rsid w:val="38865E1E"/>
    <w:rsid w:val="38AF1198"/>
    <w:rsid w:val="3A573895"/>
    <w:rsid w:val="3AC57E02"/>
    <w:rsid w:val="3DF71617"/>
    <w:rsid w:val="3E7013C9"/>
    <w:rsid w:val="3E9568E4"/>
    <w:rsid w:val="42B37AD7"/>
    <w:rsid w:val="43DA1BD8"/>
    <w:rsid w:val="44C81ABF"/>
    <w:rsid w:val="4A227A1C"/>
    <w:rsid w:val="4BE17463"/>
    <w:rsid w:val="4ED17C62"/>
    <w:rsid w:val="503264DF"/>
    <w:rsid w:val="52097713"/>
    <w:rsid w:val="52290B3D"/>
    <w:rsid w:val="525F4A7A"/>
    <w:rsid w:val="558C6691"/>
    <w:rsid w:val="56A97270"/>
    <w:rsid w:val="5B744D73"/>
    <w:rsid w:val="5E9345EC"/>
    <w:rsid w:val="5EF64B7B"/>
    <w:rsid w:val="603B13E0"/>
    <w:rsid w:val="61291238"/>
    <w:rsid w:val="612A2B93"/>
    <w:rsid w:val="64607667"/>
    <w:rsid w:val="66236B9E"/>
    <w:rsid w:val="6672542F"/>
    <w:rsid w:val="6B3709F5"/>
    <w:rsid w:val="6D042B59"/>
    <w:rsid w:val="6D2B2416"/>
    <w:rsid w:val="6FDD600F"/>
    <w:rsid w:val="703B7EC7"/>
    <w:rsid w:val="71A31B56"/>
    <w:rsid w:val="760F67F7"/>
    <w:rsid w:val="764D37C3"/>
    <w:rsid w:val="7722255A"/>
    <w:rsid w:val="789631FF"/>
    <w:rsid w:val="7A5D640B"/>
    <w:rsid w:val="7B340AAD"/>
    <w:rsid w:val="7B7F441F"/>
    <w:rsid w:val="7BB02821"/>
    <w:rsid w:val="7C1C3A1B"/>
    <w:rsid w:val="7DCC6210"/>
    <w:rsid w:val="7E0879CA"/>
    <w:rsid w:val="7EEA1B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Body Text"/>
    <w:basedOn w:val="1"/>
    <w:uiPriority w:val="0"/>
    <w:rPr>
      <w:sz w:val="32"/>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uiPriority w:val="0"/>
    <w:rPr>
      <w:b/>
    </w:rPr>
  </w:style>
  <w:style w:type="character" w:styleId="8">
    <w:name w:val="Hyperlink"/>
    <w:basedOn w:val="6"/>
    <w:uiPriority w:val="0"/>
    <w:rPr>
      <w:color w:val="0000FF"/>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6</Pages>
  <Words>4759</Words>
  <Characters>5220</Characters>
  <Lines>10</Lines>
  <Paragraphs>3</Paragraphs>
  <TotalTime>1</TotalTime>
  <ScaleCrop>false</ScaleCrop>
  <LinksUpToDate>false</LinksUpToDate>
  <CharactersWithSpaces>5232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2016-09-01T09:07:00Z</dcterms:created>
  <dc:creator>User</dc:creator>
  <cp:lastModifiedBy>王川</cp:lastModifiedBy>
  <dcterms:modified xsi:type="dcterms:W3CDTF">2022-06-15T07:54:07Z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160981A200114A888CF604B179801332</vt:lpwstr>
  </property>
</Properties>
</file>